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30" w:rsidRPr="00CF7C90" w:rsidRDefault="009B3993" w:rsidP="00920130">
      <w:pPr>
        <w:jc w:val="center"/>
        <w:rPr>
          <w:b/>
          <w:u w:val="single"/>
        </w:rPr>
      </w:pPr>
      <w:r>
        <w:rPr>
          <w:b/>
          <w:u w:val="single"/>
        </w:rPr>
        <w:t>APPENDIX A</w:t>
      </w:r>
      <w:r w:rsidR="00215F2F">
        <w:rPr>
          <w:b/>
          <w:u w:val="single"/>
        </w:rPr>
        <w:t>.</w:t>
      </w:r>
      <w:r>
        <w:rPr>
          <w:b/>
          <w:u w:val="single"/>
        </w:rPr>
        <w:t xml:space="preserve">  </w:t>
      </w:r>
      <w:r w:rsidRPr="009B3993">
        <w:rPr>
          <w:b/>
          <w:u w:val="single"/>
        </w:rPr>
        <w:t>INDUSTRIAL/COMMERCIAL/INSTITUTIONAL BOILERS</w:t>
      </w:r>
      <w:r>
        <w:rPr>
          <w:b/>
          <w:u w:val="single"/>
        </w:rPr>
        <w:t xml:space="preserve"> </w:t>
      </w:r>
      <w:r w:rsidR="00E303E4">
        <w:rPr>
          <w:b/>
          <w:u w:val="single"/>
        </w:rPr>
        <w:t>IN O</w:t>
      </w:r>
      <w:r>
        <w:rPr>
          <w:b/>
          <w:u w:val="single"/>
        </w:rPr>
        <w:t xml:space="preserve">ZONE </w:t>
      </w:r>
      <w:r w:rsidR="00E303E4">
        <w:rPr>
          <w:b/>
          <w:u w:val="single"/>
        </w:rPr>
        <w:t>TR</w:t>
      </w:r>
      <w:r>
        <w:rPr>
          <w:b/>
          <w:u w:val="single"/>
        </w:rPr>
        <w:t>ANSPORT REGION</w:t>
      </w:r>
    </w:p>
    <w:p w:rsidR="00A46BB2" w:rsidRPr="001667D7" w:rsidRDefault="00A46BB2" w:rsidP="00A46BB2">
      <w:pPr>
        <w:spacing w:before="120"/>
        <w:jc w:val="center"/>
        <w:rPr>
          <w:rFonts w:asciiTheme="minorHAnsi" w:hAnsiTheme="minorHAnsi"/>
          <w:b/>
        </w:rPr>
      </w:pPr>
      <w:r w:rsidRPr="001667D7">
        <w:rPr>
          <w:rFonts w:asciiTheme="minorHAnsi" w:hAnsiTheme="minorHAnsi"/>
          <w:b/>
        </w:rPr>
        <w:t>(Data as of 0</w:t>
      </w:r>
      <w:r w:rsidR="00CE6FCC">
        <w:rPr>
          <w:rFonts w:asciiTheme="minorHAnsi" w:hAnsiTheme="minorHAnsi"/>
          <w:b/>
        </w:rPr>
        <w:t>9</w:t>
      </w:r>
      <w:r w:rsidRPr="001667D7">
        <w:rPr>
          <w:rFonts w:asciiTheme="minorHAnsi" w:hAnsiTheme="minorHAnsi"/>
          <w:b/>
        </w:rPr>
        <w:t>/</w:t>
      </w:r>
      <w:r w:rsidR="00CE6FCC">
        <w:rPr>
          <w:rFonts w:asciiTheme="minorHAnsi" w:hAnsiTheme="minorHAnsi"/>
          <w:b/>
        </w:rPr>
        <w:t>01</w:t>
      </w:r>
      <w:r w:rsidRPr="001667D7">
        <w:rPr>
          <w:rFonts w:asciiTheme="minorHAnsi" w:hAnsiTheme="minorHAnsi"/>
          <w:b/>
        </w:rPr>
        <w:t>/2016)</w:t>
      </w:r>
    </w:p>
    <w:p w:rsidR="00AC3B0A" w:rsidRPr="003C3D52" w:rsidRDefault="00AC3B0A">
      <w:pPr>
        <w:rPr>
          <w:sz w:val="20"/>
          <w:szCs w:val="20"/>
        </w:rPr>
      </w:pPr>
    </w:p>
    <w:tbl>
      <w:tblPr>
        <w:tblW w:w="10875" w:type="dxa"/>
        <w:tblLook w:val="04A0" w:firstRow="1" w:lastRow="0" w:firstColumn="1" w:lastColumn="0" w:noHBand="0" w:noVBand="1"/>
      </w:tblPr>
      <w:tblGrid>
        <w:gridCol w:w="3045"/>
        <w:gridCol w:w="2340"/>
        <w:gridCol w:w="2250"/>
        <w:gridCol w:w="3240"/>
      </w:tblGrid>
      <w:tr w:rsidR="0014764A" w:rsidRPr="00E36C33" w:rsidTr="00B27EE4">
        <w:trPr>
          <w:trHeight w:val="260"/>
        </w:trPr>
        <w:tc>
          <w:tcPr>
            <w:tcW w:w="3045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A46BB2" w:rsidRDefault="00B34EBC" w:rsidP="00B27EE4">
            <w:pPr>
              <w:ind w:left="36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u w:val="single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>1</w:t>
            </w:r>
            <w:r w:rsidR="00920130" w:rsidRPr="00A46BB2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 xml:space="preserve">. </w:t>
            </w:r>
            <w:r w:rsidR="00945B7A" w:rsidRPr="00A46BB2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>COAL-FIRED</w:t>
            </w:r>
            <w:r w:rsidR="000939C3" w:rsidRPr="00A46BB2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 xml:space="preserve"> BOILERS</w:t>
            </w:r>
          </w:p>
        </w:tc>
        <w:tc>
          <w:tcPr>
            <w:tcW w:w="7830" w:type="dxa"/>
            <w:gridSpan w:val="3"/>
            <w:tcBorders>
              <w:top w:val="single" w:sz="12" w:space="0" w:color="0070C0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14764A" w:rsidRPr="00A46BB2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Boiler capacity (</w:t>
            </w:r>
            <w:proofErr w:type="spellStart"/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mmBtu</w:t>
            </w:r>
            <w:proofErr w:type="spellEnd"/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hr</w:t>
            </w:r>
            <w:proofErr w:type="spellEnd"/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</w:tr>
      <w:tr w:rsidR="0014764A" w:rsidRPr="00E41AEB" w:rsidTr="00B27EE4">
        <w:trPr>
          <w:trHeight w:val="242"/>
        </w:trPr>
        <w:tc>
          <w:tcPr>
            <w:tcW w:w="3045" w:type="dxa"/>
            <w:vMerge/>
            <w:tcBorders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4A" w:rsidRPr="00E41AEB" w:rsidRDefault="0014764A" w:rsidP="00C54B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4A" w:rsidRPr="00E41AEB" w:rsidRDefault="0014764A" w:rsidP="00C54B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4A" w:rsidRPr="00E41AEB" w:rsidRDefault="0014764A" w:rsidP="00C54B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250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&gt;250</w:t>
            </w:r>
          </w:p>
        </w:tc>
      </w:tr>
      <w:tr w:rsidR="0020399A" w:rsidRPr="00E41AEB" w:rsidTr="00B27EE4">
        <w:trPr>
          <w:trHeight w:val="179"/>
        </w:trPr>
        <w:tc>
          <w:tcPr>
            <w:tcW w:w="304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State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NOx Limit (</w:t>
            </w:r>
            <w:proofErr w:type="spellStart"/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lbs</w:t>
            </w:r>
            <w:proofErr w:type="spellEnd"/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mmBtu</w:t>
            </w:r>
            <w:proofErr w:type="spellEnd"/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</w:tr>
      <w:tr w:rsidR="0014764A" w:rsidRPr="00E41AEB" w:rsidTr="00B27EE4">
        <w:trPr>
          <w:trHeight w:val="440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CT – Statewid</w:t>
            </w:r>
            <w:r w:rsidR="00D40CB8"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B8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0.29 - 0.43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r w:rsidR="00D40CB8" w:rsidRPr="00CB199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; </w:t>
            </w: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0.28 - 0.43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0.12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B8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0.15 - 0.43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="00D40CB8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 xml:space="preserve">; </w:t>
            </w: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0.15 - 0.43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0.12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D40CB8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0.15 - 0.43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;</w:t>
            </w:r>
            <w:r w:rsidR="00D40CB8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0.15 - 0.43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0.12</w:t>
            </w:r>
            <w:r w:rsidR="0084436D" w:rsidRPr="00CB1999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756591" w:rsidRPr="00E41AEB" w:rsidTr="00B27EE4">
        <w:trPr>
          <w:trHeight w:val="215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Pr="00A46BB2" w:rsidRDefault="00756591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DC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&gt;20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mmBTU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, adjust combustion process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14764A" w:rsidRPr="00E41AEB" w:rsidTr="00B27EE4">
        <w:trPr>
          <w:trHeight w:val="300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DE - Statewide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LEA, Low NOx, FGR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0.38 - 0.43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0.38 - 0.43</w:t>
            </w:r>
          </w:p>
        </w:tc>
      </w:tr>
      <w:tr w:rsidR="0014764A" w:rsidRPr="00E41AEB" w:rsidTr="00B27EE4">
        <w:trPr>
          <w:trHeight w:val="300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MA - Statewide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0.33 - 0.45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0.33 - 0.45</w:t>
            </w:r>
          </w:p>
        </w:tc>
      </w:tr>
      <w:tr w:rsidR="0014764A" w:rsidRPr="00E41AEB" w:rsidTr="00B27EE4">
        <w:trPr>
          <w:trHeight w:val="300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MD - Select counties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 limits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0.7</w:t>
            </w:r>
            <w:r w:rsidR="0084436D"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20428A" w:rsidRPr="00E41AEB" w:rsidTr="00B27EE4">
        <w:trPr>
          <w:trHeight w:val="300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428A" w:rsidRPr="00A46BB2" w:rsidRDefault="0020428A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 xml:space="preserve">ME -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428A" w:rsidRPr="00CB1999" w:rsidRDefault="0020428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428A" w:rsidRPr="00CB1999" w:rsidRDefault="0020428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20428A" w:rsidRPr="00CB1999" w:rsidRDefault="0020428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4405B6" w:rsidRPr="00E41AEB" w:rsidTr="00B27EE4">
        <w:trPr>
          <w:trHeight w:val="206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05B6" w:rsidRPr="00A46BB2" w:rsidRDefault="004405B6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NH</w:t>
            </w:r>
            <w:r w:rsidR="0020428A"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 xml:space="preserve"> -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05B6" w:rsidRPr="00CB1999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05B6" w:rsidRPr="00CB1999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4405B6" w:rsidRPr="00CB1999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14764A" w:rsidRPr="00E41AEB" w:rsidTr="00B27EE4">
        <w:trPr>
          <w:trHeight w:val="300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NY - Statewide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 limits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0.08 - 0.20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0.08 - 0.20</w:t>
            </w:r>
          </w:p>
        </w:tc>
      </w:tr>
      <w:tr w:rsidR="0014764A" w:rsidRPr="00E41AEB" w:rsidTr="00B27EE4">
        <w:trPr>
          <w:trHeight w:val="701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sz w:val="22"/>
              </w:rPr>
              <w:t>PA - Statewide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0.45</w:t>
            </w: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Refinery gas unit 0.25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0.45</w:t>
            </w: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Refinery gas unit 0.25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Coal with SCR temp &gt;600</w:t>
            </w: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o</w:t>
            </w: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F (0.12); </w:t>
            </w: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 xml:space="preserve">CFB (0.16); Tangential (0.35); </w:t>
            </w: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Refinery gas unit (0.25); Other (0.40)</w:t>
            </w:r>
          </w:p>
        </w:tc>
      </w:tr>
      <w:tr w:rsidR="0014764A" w:rsidRPr="00E41AEB" w:rsidTr="00B27EE4">
        <w:trPr>
          <w:trHeight w:val="300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sz w:val="22"/>
              </w:rPr>
              <w:t xml:space="preserve">VA - </w:t>
            </w:r>
            <w:r w:rsidR="00FF28E8" w:rsidRPr="00FF28E8">
              <w:rPr>
                <w:rFonts w:asciiTheme="minorHAnsi" w:eastAsia="Times New Roman" w:hAnsiTheme="minorHAnsi" w:cs="Times New Roman"/>
                <w:b/>
                <w:sz w:val="22"/>
              </w:rPr>
              <w:t>OTR  jurisdiction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FF28E8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FF28E8">
              <w:rPr>
                <w:rFonts w:asciiTheme="minorHAnsi" w:eastAsia="Times New Roman" w:hAnsiTheme="minorHAnsi" w:cs="Times New Roman"/>
                <w:sz w:val="20"/>
                <w:szCs w:val="20"/>
              </w:rPr>
              <w:t>0.38 - 1.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0.38 - 1.0</w:t>
            </w:r>
            <w:r w:rsidR="0084436D"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0.38 - 1.0</w:t>
            </w:r>
            <w:r w:rsidR="0084436D"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  <w:tr w:rsidR="0014764A" w:rsidRPr="00E41AEB" w:rsidTr="00B27EE4">
        <w:trPr>
          <w:trHeight w:val="300"/>
        </w:trPr>
        <w:tc>
          <w:tcPr>
            <w:tcW w:w="3045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sz w:val="22"/>
              </w:rPr>
              <w:t>VT - Statewide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No limits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No limits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14764A" w:rsidRPr="00CB1999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0.7</w:t>
            </w:r>
            <w:r w:rsidR="0084436D" w:rsidRPr="00CB1999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</w:tbl>
    <w:p w:rsidR="00404EFA" w:rsidRPr="00920130" w:rsidRDefault="00404EFA">
      <w:pPr>
        <w:rPr>
          <w:sz w:val="20"/>
          <w:szCs w:val="20"/>
        </w:rPr>
      </w:pPr>
    </w:p>
    <w:p w:rsidR="00920130" w:rsidRPr="00920130" w:rsidRDefault="00920130">
      <w:pPr>
        <w:rPr>
          <w:sz w:val="20"/>
          <w:szCs w:val="20"/>
        </w:rPr>
      </w:pPr>
    </w:p>
    <w:tbl>
      <w:tblPr>
        <w:tblW w:w="10875" w:type="dxa"/>
        <w:tblLook w:val="04A0" w:firstRow="1" w:lastRow="0" w:firstColumn="1" w:lastColumn="0" w:noHBand="0" w:noVBand="1"/>
      </w:tblPr>
      <w:tblGrid>
        <w:gridCol w:w="3225"/>
        <w:gridCol w:w="2520"/>
        <w:gridCol w:w="2880"/>
        <w:gridCol w:w="2250"/>
      </w:tblGrid>
      <w:tr w:rsidR="0014764A" w:rsidRPr="00E36C33" w:rsidTr="00B27EE4">
        <w:trPr>
          <w:trHeight w:val="258"/>
        </w:trPr>
        <w:tc>
          <w:tcPr>
            <w:tcW w:w="3225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A46BB2" w:rsidRDefault="00AC6AD0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>2</w:t>
            </w:r>
            <w:r w:rsidR="00920130" w:rsidRPr="00A46BB2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 xml:space="preserve">. </w:t>
            </w:r>
            <w:r w:rsidR="0014764A" w:rsidRPr="00A46BB2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 xml:space="preserve">NATURAL GAS-FIRED </w:t>
            </w:r>
            <w:r w:rsidR="000939C3" w:rsidRPr="00A46BB2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>BOILERS</w:t>
            </w:r>
          </w:p>
        </w:tc>
        <w:tc>
          <w:tcPr>
            <w:tcW w:w="7650" w:type="dxa"/>
            <w:gridSpan w:val="3"/>
            <w:tcBorders>
              <w:top w:val="single" w:sz="12" w:space="0" w:color="0070C0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Boiler capacity (</w:t>
            </w:r>
            <w:proofErr w:type="spellStart"/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mmBtu</w:t>
            </w:r>
            <w:proofErr w:type="spellEnd"/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hr</w:t>
            </w:r>
            <w:proofErr w:type="spellEnd"/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</w:tr>
      <w:tr w:rsidR="0014764A" w:rsidRPr="00E41AEB" w:rsidTr="00B27EE4">
        <w:trPr>
          <w:trHeight w:val="170"/>
        </w:trPr>
        <w:tc>
          <w:tcPr>
            <w:tcW w:w="3225" w:type="dxa"/>
            <w:vMerge/>
            <w:tcBorders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A46BB2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100 - 250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&gt;250</w:t>
            </w:r>
          </w:p>
        </w:tc>
      </w:tr>
      <w:tr w:rsidR="0014764A" w:rsidRPr="00E41AEB" w:rsidTr="00B27EE4">
        <w:trPr>
          <w:trHeight w:val="179"/>
        </w:trPr>
        <w:tc>
          <w:tcPr>
            <w:tcW w:w="322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State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NOx Limit (</w:t>
            </w:r>
            <w:proofErr w:type="spellStart"/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lbs</w:t>
            </w:r>
            <w:proofErr w:type="spellEnd"/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mmBtu</w:t>
            </w:r>
            <w:proofErr w:type="spellEnd"/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</w:tr>
      <w:tr w:rsidR="0014764A" w:rsidRPr="00E41AEB" w:rsidTr="00B27EE4">
        <w:trPr>
          <w:trHeight w:val="458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CT – Statewid</w:t>
            </w:r>
            <w:r w:rsidRPr="00A46BB2">
              <w:rPr>
                <w:rFonts w:asciiTheme="minorHAnsi" w:eastAsia="Times New Roman" w:hAnsiTheme="minorHAnsi" w:cs="Times New Roman"/>
                <w:color w:val="000000"/>
                <w:sz w:val="22"/>
              </w:rPr>
              <w:t>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0.20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0.43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="002350B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;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0.20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0.30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="002350B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;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0.05</w:t>
            </w:r>
            <w:r w:rsidR="007F0DB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-</w:t>
            </w:r>
            <w:r w:rsidR="007F0DB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0.10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0.15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0.43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="002350B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;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0.30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="002350B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;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</w:t>
            </w:r>
            <w:r w:rsidR="008443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0.15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0.43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="002350B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;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0.30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="002350B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; 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</w:t>
            </w:r>
            <w:r w:rsidR="008443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  <w:r w:rsidR="0084436D" w:rsidRPr="0084436D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756591" w:rsidRPr="00E41AEB" w:rsidTr="00B27EE4">
        <w:trPr>
          <w:trHeight w:val="215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Pr="00A46BB2" w:rsidRDefault="00756591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DC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&gt;20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mmBTU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, adjust combustion process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0.2</w:t>
            </w:r>
            <w:r w:rsidR="00B27EE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0.2</w:t>
            </w:r>
            <w:r w:rsidR="00B27EE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764A" w:rsidRPr="00E41AEB" w:rsidTr="00B27EE4">
        <w:trPr>
          <w:trHeight w:val="233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DE - Statewide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LEA,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Low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NOx,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FGR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C33"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  <w:r w:rsidR="0084436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C33"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  <w:r w:rsidR="0084436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14764A" w:rsidRPr="00E41AEB" w:rsidTr="00B27EE4">
        <w:trPr>
          <w:trHeight w:val="242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MA - Statewide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1</w:t>
            </w:r>
            <w:r w:rsidR="008443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2</w:t>
            </w:r>
            <w:r w:rsidR="008443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</w:t>
            </w: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2</w:t>
            </w:r>
            <w:r w:rsidR="008443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764A" w:rsidRPr="00E41AEB" w:rsidTr="00B27EE4">
        <w:trPr>
          <w:trHeight w:val="197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A46BB2" w:rsidRDefault="0014764A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MD - Select counties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36C33">
              <w:rPr>
                <w:rFonts w:asciiTheme="minorHAnsi" w:hAnsiTheme="minorHAnsi"/>
                <w:color w:val="000000"/>
                <w:sz w:val="20"/>
                <w:szCs w:val="20"/>
              </w:rPr>
              <w:t>Tune-up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36C33"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  <w:r w:rsidR="0084436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E41AEB" w:rsidRDefault="0014764A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36C33"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  <w:r w:rsidR="0084436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4405B6" w:rsidRPr="00E41AEB" w:rsidTr="00B27EE4">
        <w:trPr>
          <w:trHeight w:val="197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B6" w:rsidRPr="00A46BB2" w:rsidRDefault="004405B6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NJ - Statewide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B6" w:rsidRPr="00E36C33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B6" w:rsidRPr="00E36C33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</w:t>
            </w:r>
            <w:r w:rsidR="008443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4405B6" w:rsidRPr="00E36C33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0.1</w:t>
            </w:r>
            <w:r w:rsidR="008443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05B6" w:rsidRPr="00E41AEB" w:rsidTr="00B27EE4">
        <w:trPr>
          <w:trHeight w:val="197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05B6" w:rsidRPr="00A46BB2" w:rsidRDefault="004405B6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 xml:space="preserve">NH -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05B6" w:rsidRPr="00E36C33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05B6" w:rsidRPr="00E36C33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4405B6" w:rsidRPr="00E36C33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4405B6" w:rsidRPr="00E41AEB" w:rsidTr="00B27EE4">
        <w:trPr>
          <w:trHeight w:val="188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A46BB2" w:rsidRDefault="004405B6" w:rsidP="00B27EE4">
            <w:pP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NY – Statewide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limits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0.08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– </w:t>
            </w: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0.08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– </w:t>
            </w:r>
            <w:r w:rsidRPr="00E41AE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4405B6" w:rsidRPr="00E41AEB" w:rsidTr="00B27EE4">
        <w:trPr>
          <w:trHeight w:val="215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A46BB2" w:rsidRDefault="004405B6" w:rsidP="00B27EE4">
            <w:pPr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sz w:val="22"/>
              </w:rPr>
              <w:t>PA – Statewide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sz w:val="20"/>
                <w:szCs w:val="20"/>
              </w:rPr>
              <w:t>0.</w:t>
            </w:r>
            <w:r w:rsidRPr="00E36C33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84436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sz w:val="20"/>
                <w:szCs w:val="20"/>
              </w:rPr>
              <w:t>0.</w:t>
            </w:r>
            <w:r w:rsidRPr="00E36C33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84436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sz w:val="20"/>
                <w:szCs w:val="20"/>
              </w:rPr>
              <w:t>0.1</w:t>
            </w:r>
            <w:r w:rsidR="0084436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  <w:tr w:rsidR="00A8052E" w:rsidRPr="00E41AEB" w:rsidTr="00B27EE4">
        <w:trPr>
          <w:trHeight w:val="215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b/>
                <w:sz w:val="22"/>
              </w:rPr>
              <w:t>RI - Statewide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0.10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0.10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0.20</w:t>
            </w:r>
          </w:p>
        </w:tc>
      </w:tr>
      <w:tr w:rsidR="004405B6" w:rsidRPr="00E41AEB" w:rsidTr="00B27EE4">
        <w:trPr>
          <w:trHeight w:val="242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A46BB2" w:rsidRDefault="004405B6" w:rsidP="00B27EE4">
            <w:pPr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sz w:val="22"/>
              </w:rPr>
              <w:t xml:space="preserve">VA – </w:t>
            </w:r>
            <w:r w:rsidR="00FF28E8" w:rsidRPr="00FF28E8">
              <w:rPr>
                <w:rFonts w:asciiTheme="minorHAnsi" w:eastAsia="Times New Roman" w:hAnsiTheme="minorHAnsi" w:cs="Times New Roman"/>
                <w:b/>
                <w:sz w:val="22"/>
              </w:rPr>
              <w:t>OTR  jurisdiction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84436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84436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84436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  <w:tr w:rsidR="004405B6" w:rsidRPr="00E41AEB" w:rsidTr="00B27EE4">
        <w:trPr>
          <w:trHeight w:val="161"/>
        </w:trPr>
        <w:tc>
          <w:tcPr>
            <w:tcW w:w="3225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A46BB2" w:rsidRDefault="004405B6" w:rsidP="00B27EE4">
            <w:pPr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A46BB2">
              <w:rPr>
                <w:rFonts w:asciiTheme="minorHAnsi" w:eastAsia="Times New Roman" w:hAnsiTheme="minorHAnsi" w:cs="Times New Roman"/>
                <w:b/>
                <w:sz w:val="22"/>
              </w:rPr>
              <w:t>VT – Statewide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sz w:val="20"/>
                <w:szCs w:val="20"/>
              </w:rPr>
              <w:t>No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sz w:val="20"/>
                <w:szCs w:val="20"/>
              </w:rPr>
              <w:t>limits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41AEB">
              <w:rPr>
                <w:rFonts w:asciiTheme="minorHAnsi" w:eastAsia="Times New Roman" w:hAnsiTheme="minorHAnsi" w:cs="Times New Roman"/>
                <w:sz w:val="20"/>
                <w:szCs w:val="20"/>
              </w:rPr>
              <w:t>No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E41AEB">
              <w:rPr>
                <w:rFonts w:asciiTheme="minorHAnsi" w:eastAsia="Times New Roman" w:hAnsiTheme="minorHAnsi" w:cs="Times New Roman"/>
                <w:sz w:val="20"/>
                <w:szCs w:val="20"/>
              </w:rPr>
              <w:t>limits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4405B6" w:rsidRPr="00E41AEB" w:rsidRDefault="004405B6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36C33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84436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</w:tbl>
    <w:p w:rsidR="00920130" w:rsidRPr="00920130" w:rsidRDefault="00920130">
      <w:pPr>
        <w:rPr>
          <w:szCs w:val="24"/>
        </w:rPr>
      </w:pPr>
    </w:p>
    <w:p w:rsidR="00920130" w:rsidRDefault="00920130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DD0C45" w:rsidRPr="00DD0C45" w:rsidRDefault="00DD0C45" w:rsidP="00DD0C45">
      <w:pPr>
        <w:rPr>
          <w:sz w:val="20"/>
          <w:szCs w:val="20"/>
        </w:rPr>
      </w:pPr>
    </w:p>
    <w:p w:rsidR="00DD0C45" w:rsidRPr="00DD0C45" w:rsidRDefault="00DD0C45" w:rsidP="00DD0C45">
      <w:pPr>
        <w:rPr>
          <w:sz w:val="20"/>
          <w:szCs w:val="20"/>
        </w:rPr>
      </w:pPr>
    </w:p>
    <w:p w:rsidR="00DD0C45" w:rsidRPr="00DD0C45" w:rsidRDefault="00DD0C45" w:rsidP="00DD0C45">
      <w:pPr>
        <w:rPr>
          <w:sz w:val="20"/>
          <w:szCs w:val="20"/>
        </w:rPr>
      </w:pPr>
    </w:p>
    <w:tbl>
      <w:tblPr>
        <w:tblW w:w="10880" w:type="dxa"/>
        <w:tblInd w:w="-5" w:type="dxa"/>
        <w:tblLook w:val="04A0" w:firstRow="1" w:lastRow="0" w:firstColumn="1" w:lastColumn="0" w:noHBand="0" w:noVBand="1"/>
      </w:tblPr>
      <w:tblGrid>
        <w:gridCol w:w="2330"/>
        <w:gridCol w:w="1530"/>
        <w:gridCol w:w="1440"/>
        <w:gridCol w:w="1440"/>
        <w:gridCol w:w="1440"/>
        <w:gridCol w:w="1350"/>
        <w:gridCol w:w="1350"/>
      </w:tblGrid>
      <w:tr w:rsidR="0014764A" w:rsidRPr="008E7CC7" w:rsidTr="00B27EE4">
        <w:trPr>
          <w:trHeight w:val="213"/>
        </w:trPr>
        <w:tc>
          <w:tcPr>
            <w:tcW w:w="2330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4A" w:rsidRPr="008E7CC7" w:rsidRDefault="00B34EBC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>3</w:t>
            </w:r>
            <w:r w:rsidR="00920130" w:rsidRPr="008E7CC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 xml:space="preserve">. </w:t>
            </w:r>
            <w:r w:rsidR="0014764A" w:rsidRPr="008E7CC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 xml:space="preserve">OIL-FIRED </w:t>
            </w:r>
            <w:r w:rsidR="000939C3" w:rsidRPr="008E7CC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u w:val="single"/>
              </w:rPr>
              <w:t>BOILERS</w:t>
            </w:r>
          </w:p>
        </w:tc>
        <w:tc>
          <w:tcPr>
            <w:tcW w:w="8550" w:type="dxa"/>
            <w:gridSpan w:val="6"/>
            <w:tcBorders>
              <w:top w:val="single" w:sz="12" w:space="0" w:color="0070C0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14764A" w:rsidRPr="008E7CC7" w:rsidRDefault="0014764A" w:rsidP="00C54B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sz w:val="22"/>
              </w:rPr>
              <w:t>Boiler capacity (</w:t>
            </w:r>
            <w:proofErr w:type="spellStart"/>
            <w:r w:rsidRPr="008E7CC7">
              <w:rPr>
                <w:rFonts w:asciiTheme="minorHAnsi" w:eastAsia="Times New Roman" w:hAnsiTheme="minorHAnsi" w:cs="Times New Roman"/>
                <w:b/>
                <w:sz w:val="22"/>
              </w:rPr>
              <w:t>mmBtu</w:t>
            </w:r>
            <w:proofErr w:type="spellEnd"/>
            <w:r w:rsidRPr="008E7CC7">
              <w:rPr>
                <w:rFonts w:asciiTheme="minorHAnsi" w:eastAsia="Times New Roman" w:hAnsiTheme="minorHAnsi" w:cs="Times New Roman"/>
                <w:b/>
                <w:sz w:val="22"/>
              </w:rPr>
              <w:t>/</w:t>
            </w:r>
            <w:proofErr w:type="spellStart"/>
            <w:r w:rsidRPr="008E7CC7">
              <w:rPr>
                <w:rFonts w:asciiTheme="minorHAnsi" w:eastAsia="Times New Roman" w:hAnsiTheme="minorHAnsi" w:cs="Times New Roman"/>
                <w:b/>
                <w:sz w:val="22"/>
              </w:rPr>
              <w:t>hr</w:t>
            </w:r>
            <w:proofErr w:type="spellEnd"/>
            <w:r w:rsidRPr="008E7CC7">
              <w:rPr>
                <w:rFonts w:asciiTheme="minorHAnsi" w:eastAsia="Times New Roman" w:hAnsiTheme="minorHAnsi" w:cs="Times New Roman"/>
                <w:b/>
                <w:sz w:val="22"/>
              </w:rPr>
              <w:t>)</w:t>
            </w:r>
          </w:p>
        </w:tc>
      </w:tr>
      <w:tr w:rsidR="0014764A" w:rsidRPr="008E7CC7" w:rsidTr="00B27EE4">
        <w:trPr>
          <w:trHeight w:val="215"/>
        </w:trPr>
        <w:tc>
          <w:tcPr>
            <w:tcW w:w="2330" w:type="dxa"/>
            <w:vMerge/>
            <w:tcBorders>
              <w:left w:val="single" w:sz="12" w:space="0" w:color="007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4A" w:rsidRPr="008E7CC7" w:rsidRDefault="0014764A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8E7CC7" w:rsidRDefault="0014764A" w:rsidP="00C54B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50 </w:t>
            </w:r>
            <w:r w:rsidR="004405B6"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–</w:t>
            </w: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 100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8E7CC7" w:rsidRDefault="0014764A" w:rsidP="00C54B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100 </w:t>
            </w:r>
            <w:r w:rsidR="004405B6"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–</w:t>
            </w: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 250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8E7CC7" w:rsidRDefault="0014764A" w:rsidP="00C54B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&gt;250 </w:t>
            </w:r>
          </w:p>
        </w:tc>
      </w:tr>
      <w:tr w:rsidR="0014764A" w:rsidRPr="008E7CC7" w:rsidTr="00B27EE4">
        <w:trPr>
          <w:trHeight w:val="179"/>
        </w:trPr>
        <w:tc>
          <w:tcPr>
            <w:tcW w:w="2330" w:type="dxa"/>
            <w:vMerge/>
            <w:tcBorders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8E7CC7" w:rsidRDefault="0014764A" w:rsidP="00C54B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NOx Limit (</w:t>
            </w:r>
            <w:proofErr w:type="spellStart"/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lbs</w:t>
            </w:r>
            <w:proofErr w:type="spellEnd"/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/</w:t>
            </w:r>
            <w:proofErr w:type="spellStart"/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mmBtu</w:t>
            </w:r>
            <w:proofErr w:type="spellEnd"/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)</w:t>
            </w:r>
          </w:p>
        </w:tc>
      </w:tr>
      <w:tr w:rsidR="0014764A" w:rsidRPr="008E7CC7" w:rsidTr="00B27EE4">
        <w:trPr>
          <w:trHeight w:val="242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Distillate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Distillate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Residual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Distillate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14764A" w:rsidRPr="008E7CC7" w:rsidRDefault="0014764A" w:rsidP="00B27EE4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Residual</w:t>
            </w:r>
          </w:p>
        </w:tc>
      </w:tr>
      <w:tr w:rsidR="0014764A" w:rsidRPr="00DC0CF4" w:rsidTr="00B27EE4">
        <w:trPr>
          <w:trHeight w:val="737"/>
        </w:trPr>
        <w:tc>
          <w:tcPr>
            <w:tcW w:w="23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8E7CC7" w:rsidRDefault="0014764A" w:rsidP="00B27EE4">
            <w:pPr>
              <w:rPr>
                <w:rFonts w:asciiTheme="minorHAnsi" w:eastAsia="Times New Roman" w:hAnsiTheme="minorHAnsi" w:cs="Times New Roman"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CT – Statewide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0.20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0.20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0.25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0.25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0.2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0.15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0.10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0.10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0.15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0.15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0.20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0.15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0.10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0.10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0.15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0.15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0.15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0.20</w:t>
            </w:r>
            <w:r w:rsidR="0084436D" w:rsidRPr="00D5773E">
              <w:rPr>
                <w:rFonts w:ascii="Segoe UI Symbol" w:eastAsia="Times New Roman" w:hAnsi="Segoe UI Symbol" w:cs="Times New Roman"/>
                <w:b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756591" w:rsidRPr="00DC0CF4" w:rsidTr="00B27EE4">
        <w:trPr>
          <w:trHeight w:val="197"/>
        </w:trPr>
        <w:tc>
          <w:tcPr>
            <w:tcW w:w="23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Pr="008E7CC7" w:rsidRDefault="002848FC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DC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0.3</w:t>
            </w:r>
            <w:r w:rsidR="00B27EE4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Banned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0.25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Banned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0.25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756591" w:rsidRDefault="00756591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Banned</w:t>
            </w:r>
          </w:p>
        </w:tc>
      </w:tr>
      <w:tr w:rsidR="0014764A" w:rsidRPr="00DC0CF4" w:rsidTr="00B27EE4">
        <w:trPr>
          <w:trHeight w:val="215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8E7CC7" w:rsidRDefault="0014764A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DE - Statewide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LEA,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DC71FE">
              <w:rPr>
                <w:rFonts w:asciiTheme="minorHAnsi" w:eastAsia="Times New Roman" w:hAnsiTheme="minorHAnsi" w:cs="Times New Roman"/>
                <w:sz w:val="20"/>
                <w:szCs w:val="20"/>
              </w:rPr>
              <w:t>LNB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FGR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0.38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0.38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0.43</w:t>
            </w:r>
          </w:p>
        </w:tc>
      </w:tr>
      <w:tr w:rsidR="0014764A" w:rsidRPr="00DC0CF4" w:rsidTr="00B27EE4">
        <w:trPr>
          <w:trHeight w:val="170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8E7CC7" w:rsidRDefault="0014764A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MA - Statewide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Tune-up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0.3</w:t>
            </w:r>
            <w:r w:rsidR="00B27EE4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0.4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0.25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0.28</w:t>
            </w:r>
          </w:p>
        </w:tc>
      </w:tr>
      <w:tr w:rsidR="0014764A" w:rsidRPr="00DC0CF4" w:rsidTr="00B27EE4">
        <w:trPr>
          <w:trHeight w:val="134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4A" w:rsidRPr="008E7CC7" w:rsidRDefault="0014764A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MD - Select </w:t>
            </w:r>
            <w:r w:rsidR="006C7C79"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C</w:t>
            </w: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ounties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No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limits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0.7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14764A" w:rsidRPr="00DC0CF4" w:rsidRDefault="0014764A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C91E25" w:rsidRPr="00DC0CF4" w:rsidTr="00B27EE4">
        <w:trPr>
          <w:trHeight w:val="143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1E25" w:rsidRPr="008E7CC7" w:rsidRDefault="00C91E25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ME -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C91E25" w:rsidRPr="00DC0CF4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91E25" w:rsidRPr="00DC0CF4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91E25" w:rsidRPr="00DC0CF4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91E25" w:rsidRPr="00DC0CF4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DEEAF6" w:themeFill="accent1" w:themeFillTint="33"/>
            <w:noWrap/>
            <w:vAlign w:val="center"/>
          </w:tcPr>
          <w:p w:rsid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C91E25" w:rsidRPr="00DC0CF4" w:rsidTr="00B27EE4">
        <w:trPr>
          <w:trHeight w:val="161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1E25" w:rsidRPr="008E7CC7" w:rsidRDefault="00C91E25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NH -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DEEAF6" w:themeFill="accent1" w:themeFillTint="33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C91E25" w:rsidRPr="00DC0CF4" w:rsidTr="00B27EE4">
        <w:trPr>
          <w:trHeight w:val="1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25" w:rsidRPr="008E7CC7" w:rsidRDefault="00C91E25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NJ – Statewide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0.2</w:t>
            </w:r>
            <w:r w:rsidR="00596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0.1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0.1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  <w:tr w:rsidR="00C91E25" w:rsidRPr="00DC0CF4" w:rsidTr="00B27EE4">
        <w:trPr>
          <w:trHeight w:val="188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25" w:rsidRPr="008E7CC7" w:rsidRDefault="00C91E25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NY – Statewide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25" w:rsidRPr="00C91E25" w:rsidRDefault="00C91E25" w:rsidP="00B27EE4">
            <w:pPr>
              <w:jc w:val="center"/>
              <w:rPr>
                <w:color w:val="000000"/>
                <w:sz w:val="20"/>
                <w:szCs w:val="20"/>
              </w:rPr>
            </w:pPr>
            <w:r w:rsidRPr="00C91E25">
              <w:rPr>
                <w:color w:val="000000"/>
                <w:sz w:val="20"/>
                <w:szCs w:val="20"/>
              </w:rPr>
              <w:t xml:space="preserve">0.08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91E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91E25">
              <w:rPr>
                <w:color w:val="000000"/>
                <w:sz w:val="20"/>
                <w:szCs w:val="20"/>
              </w:rPr>
              <w:t>.2</w:t>
            </w:r>
            <w:r w:rsidR="0059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25" w:rsidRPr="00C91E25" w:rsidRDefault="00C91E25" w:rsidP="00B27EE4">
            <w:pPr>
              <w:jc w:val="center"/>
              <w:rPr>
                <w:color w:val="000000"/>
                <w:sz w:val="20"/>
                <w:szCs w:val="20"/>
              </w:rPr>
            </w:pPr>
            <w:r w:rsidRPr="00C91E25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C91E25" w:rsidRPr="00C91E25" w:rsidRDefault="00C91E25" w:rsidP="00B27EE4">
            <w:pPr>
              <w:jc w:val="center"/>
              <w:rPr>
                <w:color w:val="000000"/>
                <w:sz w:val="20"/>
                <w:szCs w:val="20"/>
              </w:rPr>
            </w:pPr>
            <w:r w:rsidRPr="00C91E25">
              <w:rPr>
                <w:color w:val="000000"/>
                <w:sz w:val="20"/>
                <w:szCs w:val="20"/>
              </w:rPr>
              <w:t xml:space="preserve">0.15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91E25">
              <w:rPr>
                <w:color w:val="000000"/>
                <w:sz w:val="20"/>
                <w:szCs w:val="20"/>
              </w:rPr>
              <w:t xml:space="preserve"> </w:t>
            </w:r>
            <w:r w:rsidR="00596EFD">
              <w:rPr>
                <w:color w:val="000000"/>
                <w:sz w:val="20"/>
                <w:szCs w:val="20"/>
              </w:rPr>
              <w:t>0</w:t>
            </w:r>
            <w:r w:rsidRPr="00C91E25">
              <w:rPr>
                <w:color w:val="000000"/>
                <w:sz w:val="20"/>
                <w:szCs w:val="20"/>
              </w:rPr>
              <w:t>.20</w:t>
            </w:r>
          </w:p>
        </w:tc>
      </w:tr>
      <w:tr w:rsidR="00C91E25" w:rsidRPr="00DC0CF4" w:rsidTr="00B27EE4">
        <w:trPr>
          <w:trHeight w:val="125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25" w:rsidRPr="008E7CC7" w:rsidRDefault="00C91E25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PA – Statewide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0.2</w:t>
            </w:r>
            <w:r w:rsidR="00596EFD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  <w:tr w:rsidR="00A8052E" w:rsidRPr="00DC0CF4" w:rsidTr="00B27EE4">
        <w:trPr>
          <w:trHeight w:val="60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RI - Statewide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LNB &amp; FGR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LNB &amp; FGR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</w:tcPr>
          <w:p w:rsidR="00A8052E" w:rsidRPr="00A8052E" w:rsidRDefault="00A8052E" w:rsidP="00B27EE4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A8052E">
              <w:rPr>
                <w:rFonts w:asciiTheme="minorHAnsi" w:eastAsia="Times New Roman" w:hAnsiTheme="minorHAnsi" w:cs="Times New Roman"/>
                <w:sz w:val="22"/>
              </w:rPr>
              <w:t>LNB &amp; FGR</w:t>
            </w:r>
          </w:p>
        </w:tc>
      </w:tr>
      <w:tr w:rsidR="00C91E25" w:rsidRPr="00DC0CF4" w:rsidTr="00B27EE4">
        <w:trPr>
          <w:trHeight w:val="161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25" w:rsidRPr="008E7CC7" w:rsidRDefault="00C91E25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VA - </w:t>
            </w:r>
            <w:r w:rsidR="00FF28E8" w:rsidRPr="00FF28E8">
              <w:rPr>
                <w:rFonts w:asciiTheme="minorHAnsi" w:eastAsia="Times New Roman" w:hAnsiTheme="minorHAnsi" w:cs="Times New Roman"/>
                <w:b/>
                <w:sz w:val="22"/>
              </w:rPr>
              <w:t>OTR  jurisdiction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0.25 </w:t>
            </w:r>
            <w:r w:rsidR="00B96A83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0.43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0.25 </w:t>
            </w:r>
            <w:r w:rsidR="00B96A83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0.43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C91E25" w:rsidRPr="00C91E25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>0.25</w:t>
            </w:r>
            <w:r w:rsidR="00B96A8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</w:t>
            </w:r>
            <w:r w:rsidRPr="00C91E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0.43</w:t>
            </w:r>
          </w:p>
        </w:tc>
      </w:tr>
      <w:tr w:rsidR="00C91E25" w:rsidRPr="00DC0CF4" w:rsidTr="00B27EE4">
        <w:trPr>
          <w:trHeight w:val="170"/>
        </w:trPr>
        <w:tc>
          <w:tcPr>
            <w:tcW w:w="2330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25" w:rsidRPr="008E7CC7" w:rsidRDefault="00C91E25" w:rsidP="00B27EE4">
            <w:pPr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8E7CC7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VT - Statewide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12" w:space="0" w:color="007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25" w:rsidRPr="00DC0CF4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No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limits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2" w:space="0" w:color="007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25" w:rsidRPr="00DC0CF4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No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limits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C91E25" w:rsidRPr="00DC0CF4" w:rsidRDefault="00C91E25" w:rsidP="00B27EE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C0CF4">
              <w:rPr>
                <w:rFonts w:asciiTheme="minorHAnsi" w:eastAsia="Times New Roman" w:hAnsiTheme="minorHAnsi" w:cs="Times New Roman"/>
                <w:sz w:val="20"/>
                <w:szCs w:val="20"/>
              </w:rPr>
              <w:t>0.3</w:t>
            </w:r>
            <w:r w:rsidR="00B27EE4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</w:tbl>
    <w:p w:rsidR="00E32452" w:rsidRDefault="00CB1999" w:rsidP="004C29DA">
      <w:pPr>
        <w:pStyle w:val="ListParagraph"/>
        <w:spacing w:before="120" w:after="60"/>
        <w:ind w:left="187"/>
        <w:contextualSpacing w:val="0"/>
        <w:rPr>
          <w:rFonts w:asciiTheme="minorHAnsi" w:eastAsia="Times New Roman" w:hAnsiTheme="minorHAnsi" w:cs="Times New Roman"/>
          <w:sz w:val="22"/>
        </w:rPr>
      </w:pPr>
      <w:r w:rsidRPr="006B55E7">
        <w:rPr>
          <w:rFonts w:asciiTheme="minorHAnsi" w:eastAsia="Times New Roman" w:hAnsiTheme="minorHAnsi" w:cs="Times New Roman"/>
          <w:sz w:val="22"/>
          <w:u w:val="single"/>
        </w:rPr>
        <w:t>Notes</w:t>
      </w:r>
      <w:r w:rsidRPr="006518E5">
        <w:rPr>
          <w:rFonts w:asciiTheme="minorHAnsi" w:eastAsia="Times New Roman" w:hAnsiTheme="minorHAnsi" w:cs="Times New Roman"/>
          <w:sz w:val="22"/>
        </w:rPr>
        <w:t xml:space="preserve">: </w:t>
      </w:r>
    </w:p>
    <w:p w:rsidR="004C29DA" w:rsidRDefault="004C29DA" w:rsidP="004B730A">
      <w:pPr>
        <w:pStyle w:val="ListParagraph"/>
        <w:numPr>
          <w:ilvl w:val="0"/>
          <w:numId w:val="4"/>
        </w:numPr>
        <w:ind w:left="900" w:hanging="173"/>
        <w:contextualSpacing w:val="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 xml:space="preserve">No </w:t>
      </w:r>
      <w:r w:rsidRPr="004C29DA">
        <w:rPr>
          <w:rFonts w:asciiTheme="minorHAnsi" w:eastAsia="Times New Roman" w:hAnsiTheme="minorHAnsi" w:cs="Times New Roman"/>
          <w:sz w:val="22"/>
        </w:rPr>
        <w:t>Coal-Fired Boilers</w:t>
      </w:r>
      <w:r>
        <w:rPr>
          <w:rFonts w:asciiTheme="minorHAnsi" w:eastAsia="Times New Roman" w:hAnsiTheme="minorHAnsi" w:cs="Times New Roman"/>
          <w:sz w:val="22"/>
        </w:rPr>
        <w:t xml:space="preserve"> in NJ and RI;</w:t>
      </w:r>
    </w:p>
    <w:p w:rsidR="004B730A" w:rsidRDefault="00920130" w:rsidP="004B730A">
      <w:pPr>
        <w:pStyle w:val="ListParagraph"/>
        <w:numPr>
          <w:ilvl w:val="0"/>
          <w:numId w:val="4"/>
        </w:numPr>
        <w:ind w:left="900" w:hanging="173"/>
        <w:contextualSpacing w:val="0"/>
        <w:rPr>
          <w:rFonts w:asciiTheme="minorHAnsi" w:hAnsiTheme="minorHAnsi"/>
          <w:sz w:val="22"/>
        </w:rPr>
      </w:pPr>
      <w:r w:rsidRPr="006518E5">
        <w:rPr>
          <w:rFonts w:asciiTheme="minorHAnsi" w:eastAsia="Times New Roman" w:hAnsiTheme="minorHAnsi" w:cs="Times New Roman"/>
          <w:sz w:val="22"/>
        </w:rPr>
        <w:t xml:space="preserve">In Tables </w:t>
      </w:r>
      <w:r w:rsidR="00B34EBC" w:rsidRPr="006518E5">
        <w:rPr>
          <w:rFonts w:asciiTheme="minorHAnsi" w:eastAsia="Times New Roman" w:hAnsiTheme="minorHAnsi" w:cs="Times New Roman"/>
          <w:sz w:val="22"/>
        </w:rPr>
        <w:t>1</w:t>
      </w:r>
      <w:r w:rsidRPr="006518E5">
        <w:rPr>
          <w:rFonts w:asciiTheme="minorHAnsi" w:eastAsia="Times New Roman" w:hAnsiTheme="minorHAnsi" w:cs="Times New Roman"/>
          <w:sz w:val="22"/>
        </w:rPr>
        <w:t>-</w:t>
      </w:r>
      <w:r w:rsidR="00B34EBC" w:rsidRPr="006518E5">
        <w:rPr>
          <w:rFonts w:asciiTheme="minorHAnsi" w:eastAsia="Times New Roman" w:hAnsiTheme="minorHAnsi" w:cs="Times New Roman"/>
          <w:sz w:val="22"/>
        </w:rPr>
        <w:t>3</w:t>
      </w:r>
      <w:r w:rsidRPr="006518E5">
        <w:rPr>
          <w:rFonts w:asciiTheme="minorHAnsi" w:eastAsia="Times New Roman" w:hAnsiTheme="minorHAnsi" w:cs="Times New Roman"/>
          <w:sz w:val="22"/>
        </w:rPr>
        <w:t xml:space="preserve">: </w:t>
      </w:r>
      <w:r w:rsidR="00D40CB8" w:rsidRPr="006518E5">
        <w:rPr>
          <w:rFonts w:asciiTheme="minorHAnsi" w:eastAsia="Times New Roman" w:hAnsiTheme="minorHAnsi" w:cs="Times New Roman"/>
          <w:sz w:val="22"/>
        </w:rPr>
        <w:t xml:space="preserve">CT:  </w:t>
      </w:r>
      <w:proofErr w:type="spellStart"/>
      <w:r w:rsidR="00D5773E" w:rsidRPr="006518E5">
        <w:rPr>
          <w:rFonts w:asciiTheme="minorHAnsi" w:eastAsia="Times New Roman" w:hAnsiTheme="minorHAnsi" w:cs="Times New Roman"/>
          <w:b/>
          <w:sz w:val="22"/>
          <w:vertAlign w:val="superscript"/>
        </w:rPr>
        <w:t>a</w:t>
      </w:r>
      <w:r w:rsidR="002350BD" w:rsidRPr="006518E5">
        <w:rPr>
          <w:rFonts w:asciiTheme="minorHAnsi" w:eastAsia="Times New Roman" w:hAnsiTheme="minorHAnsi" w:cs="Times New Roman"/>
          <w:sz w:val="22"/>
        </w:rPr>
        <w:t>Existing</w:t>
      </w:r>
      <w:proofErr w:type="spellEnd"/>
      <w:r w:rsidR="002350BD" w:rsidRPr="006518E5">
        <w:rPr>
          <w:rFonts w:asciiTheme="minorHAnsi" w:eastAsia="Times New Roman" w:hAnsiTheme="minorHAnsi" w:cs="Times New Roman"/>
          <w:sz w:val="22"/>
        </w:rPr>
        <w:t xml:space="preserve"> RCSA Sec. 22a-174-22</w:t>
      </w:r>
      <w:r w:rsidR="00D40CB8" w:rsidRPr="006518E5">
        <w:rPr>
          <w:rFonts w:asciiTheme="minorHAnsi" w:eastAsia="Times New Roman" w:hAnsiTheme="minorHAnsi" w:cs="Times New Roman"/>
          <w:sz w:val="22"/>
        </w:rPr>
        <w:t xml:space="preserve">; </w:t>
      </w:r>
      <w:proofErr w:type="spellStart"/>
      <w:r w:rsidR="00D5773E" w:rsidRPr="006518E5">
        <w:rPr>
          <w:rFonts w:asciiTheme="minorHAnsi" w:eastAsia="Times New Roman" w:hAnsiTheme="minorHAnsi" w:cs="Times New Roman"/>
          <w:b/>
          <w:sz w:val="22"/>
          <w:vertAlign w:val="superscript"/>
        </w:rPr>
        <w:t>b</w:t>
      </w:r>
      <w:r w:rsidR="002350BD" w:rsidRPr="006518E5">
        <w:rPr>
          <w:rFonts w:asciiTheme="minorHAnsi" w:eastAsia="Times New Roman" w:hAnsiTheme="minorHAnsi" w:cs="Times New Roman"/>
          <w:sz w:val="22"/>
        </w:rPr>
        <w:t>Proposed</w:t>
      </w:r>
      <w:proofErr w:type="spellEnd"/>
      <w:r w:rsidR="002350BD" w:rsidRPr="006518E5">
        <w:rPr>
          <w:rFonts w:asciiTheme="minorHAnsi" w:eastAsia="Times New Roman" w:hAnsiTheme="minorHAnsi" w:cs="Times New Roman"/>
          <w:sz w:val="22"/>
        </w:rPr>
        <w:t xml:space="preserve"> RCSA Sec. 22a-174-22e</w:t>
      </w:r>
      <w:r w:rsidR="00D40CB8" w:rsidRPr="006518E5">
        <w:rPr>
          <w:rFonts w:asciiTheme="minorHAnsi" w:eastAsia="Times New Roman" w:hAnsiTheme="minorHAnsi" w:cs="Times New Roman"/>
          <w:sz w:val="22"/>
        </w:rPr>
        <w:t xml:space="preserve"> </w:t>
      </w:r>
      <w:r w:rsidR="002350BD" w:rsidRPr="006518E5">
        <w:rPr>
          <w:rFonts w:asciiTheme="minorHAnsi" w:eastAsia="Times New Roman" w:hAnsiTheme="minorHAnsi" w:cs="Times New Roman"/>
          <w:sz w:val="22"/>
        </w:rPr>
        <w:t>starting June 1, 2018</w:t>
      </w:r>
      <w:r w:rsidR="00D40CB8" w:rsidRPr="006518E5">
        <w:rPr>
          <w:rFonts w:asciiTheme="minorHAnsi" w:eastAsia="Times New Roman" w:hAnsiTheme="minorHAnsi" w:cs="Times New Roman"/>
          <w:sz w:val="22"/>
        </w:rPr>
        <w:t xml:space="preserve">; </w:t>
      </w:r>
      <w:proofErr w:type="spellStart"/>
      <w:r w:rsidR="00D5773E" w:rsidRPr="006518E5">
        <w:rPr>
          <w:rFonts w:asciiTheme="minorHAnsi" w:eastAsia="Times New Roman" w:hAnsiTheme="minorHAnsi" w:cs="Times New Roman"/>
          <w:b/>
          <w:sz w:val="22"/>
          <w:vertAlign w:val="superscript"/>
        </w:rPr>
        <w:t>c</w:t>
      </w:r>
      <w:r w:rsidR="00D40CB8" w:rsidRPr="006518E5">
        <w:rPr>
          <w:rFonts w:asciiTheme="minorHAnsi" w:eastAsia="Times New Roman" w:hAnsiTheme="minorHAnsi" w:cs="Times New Roman"/>
          <w:sz w:val="22"/>
        </w:rPr>
        <w:t>Proposed</w:t>
      </w:r>
      <w:proofErr w:type="spellEnd"/>
      <w:r w:rsidR="00D40CB8" w:rsidRPr="006518E5">
        <w:rPr>
          <w:rFonts w:asciiTheme="minorHAnsi" w:eastAsia="Times New Roman" w:hAnsiTheme="minorHAnsi" w:cs="Times New Roman"/>
          <w:sz w:val="22"/>
        </w:rPr>
        <w:t xml:space="preserve"> RCSA Sec. 22a-174-22e </w:t>
      </w:r>
      <w:r w:rsidR="002350BD" w:rsidRPr="006518E5">
        <w:rPr>
          <w:rFonts w:asciiTheme="minorHAnsi" w:eastAsia="Times New Roman" w:hAnsiTheme="minorHAnsi" w:cs="Times New Roman"/>
          <w:sz w:val="22"/>
        </w:rPr>
        <w:t>starting June 1, 2022</w:t>
      </w:r>
      <w:r w:rsidR="00CB1999" w:rsidRPr="006518E5">
        <w:rPr>
          <w:rFonts w:asciiTheme="minorHAnsi" w:eastAsia="Times New Roman" w:hAnsiTheme="minorHAnsi" w:cs="Times New Roman"/>
          <w:sz w:val="22"/>
        </w:rPr>
        <w:t xml:space="preserve">; </w:t>
      </w:r>
      <w:r w:rsidR="00D05A1C" w:rsidRPr="006518E5">
        <w:rPr>
          <w:rFonts w:asciiTheme="minorHAnsi" w:hAnsiTheme="minorHAnsi"/>
          <w:sz w:val="22"/>
        </w:rPr>
        <w:t>LEA</w:t>
      </w:r>
      <w:r w:rsidR="006361E7">
        <w:rPr>
          <w:rFonts w:asciiTheme="minorHAnsi" w:hAnsiTheme="minorHAnsi"/>
          <w:sz w:val="22"/>
        </w:rPr>
        <w:t xml:space="preserve"> </w:t>
      </w:r>
      <w:r w:rsidR="00D05A1C" w:rsidRPr="006518E5">
        <w:rPr>
          <w:rFonts w:asciiTheme="minorHAnsi" w:hAnsiTheme="minorHAnsi"/>
          <w:sz w:val="22"/>
        </w:rPr>
        <w:t>=</w:t>
      </w:r>
      <w:r w:rsidR="006361E7">
        <w:rPr>
          <w:rFonts w:asciiTheme="minorHAnsi" w:hAnsiTheme="minorHAnsi"/>
          <w:sz w:val="22"/>
        </w:rPr>
        <w:t xml:space="preserve"> </w:t>
      </w:r>
      <w:r w:rsidR="00D05A1C" w:rsidRPr="006518E5">
        <w:rPr>
          <w:rFonts w:asciiTheme="minorHAnsi" w:hAnsiTheme="minorHAnsi"/>
          <w:sz w:val="22"/>
        </w:rPr>
        <w:t>Low Excess Air; FGR</w:t>
      </w:r>
      <w:r w:rsidR="006361E7">
        <w:rPr>
          <w:rFonts w:asciiTheme="minorHAnsi" w:hAnsiTheme="minorHAnsi"/>
          <w:sz w:val="22"/>
        </w:rPr>
        <w:t xml:space="preserve"> </w:t>
      </w:r>
      <w:r w:rsidR="00D05A1C" w:rsidRPr="006518E5">
        <w:rPr>
          <w:rFonts w:asciiTheme="minorHAnsi" w:hAnsiTheme="minorHAnsi"/>
          <w:sz w:val="22"/>
        </w:rPr>
        <w:t xml:space="preserve">= Flue Gas Recirculation; </w:t>
      </w:r>
      <w:r w:rsidR="00DD0C45">
        <w:rPr>
          <w:rFonts w:asciiTheme="minorHAnsi" w:eastAsia="Times New Roman" w:hAnsiTheme="minorHAnsi" w:cs="Times New Roman"/>
          <w:sz w:val="22"/>
        </w:rPr>
        <w:t>LNB</w:t>
      </w:r>
      <w:r w:rsidR="006361E7">
        <w:rPr>
          <w:rFonts w:asciiTheme="minorHAnsi" w:eastAsia="Times New Roman" w:hAnsiTheme="minorHAnsi" w:cs="Times New Roman"/>
          <w:sz w:val="22"/>
        </w:rPr>
        <w:t xml:space="preserve"> </w:t>
      </w:r>
      <w:r w:rsidR="00A8052E">
        <w:rPr>
          <w:rFonts w:asciiTheme="minorHAnsi" w:hAnsiTheme="minorHAnsi"/>
          <w:sz w:val="22"/>
        </w:rPr>
        <w:t>=</w:t>
      </w:r>
      <w:r w:rsidR="006361E7">
        <w:rPr>
          <w:rFonts w:asciiTheme="minorHAnsi" w:hAnsiTheme="minorHAnsi"/>
          <w:sz w:val="22"/>
        </w:rPr>
        <w:t xml:space="preserve"> </w:t>
      </w:r>
      <w:r w:rsidR="00A8052E">
        <w:rPr>
          <w:rFonts w:asciiTheme="minorHAnsi" w:hAnsiTheme="minorHAnsi"/>
          <w:sz w:val="22"/>
        </w:rPr>
        <w:t xml:space="preserve">Low </w:t>
      </w:r>
      <w:proofErr w:type="spellStart"/>
      <w:r w:rsidR="00A8052E">
        <w:rPr>
          <w:rFonts w:asciiTheme="minorHAnsi" w:hAnsiTheme="minorHAnsi"/>
          <w:sz w:val="22"/>
        </w:rPr>
        <w:t>Nox</w:t>
      </w:r>
      <w:proofErr w:type="spellEnd"/>
      <w:r w:rsidR="00A8052E">
        <w:rPr>
          <w:rFonts w:asciiTheme="minorHAnsi" w:hAnsiTheme="minorHAnsi"/>
          <w:sz w:val="22"/>
        </w:rPr>
        <w:t xml:space="preserve"> Burner</w:t>
      </w:r>
      <w:r w:rsidR="00D05A1C" w:rsidRPr="006518E5">
        <w:rPr>
          <w:rFonts w:asciiTheme="minorHAnsi" w:hAnsiTheme="minorHAnsi"/>
          <w:sz w:val="22"/>
        </w:rPr>
        <w:t>;</w:t>
      </w:r>
    </w:p>
    <w:p w:rsidR="004B730A" w:rsidRDefault="004B730A" w:rsidP="004B730A">
      <w:pPr>
        <w:rPr>
          <w:rFonts w:asciiTheme="minorHAnsi" w:hAnsiTheme="minorHAnsi"/>
          <w:sz w:val="22"/>
        </w:rPr>
      </w:pPr>
    </w:p>
    <w:p w:rsidR="006518E5" w:rsidRPr="004B730A" w:rsidRDefault="00CB1999" w:rsidP="004B730A">
      <w:pPr>
        <w:rPr>
          <w:rFonts w:asciiTheme="minorHAnsi" w:hAnsiTheme="minorHAnsi"/>
          <w:sz w:val="22"/>
        </w:rPr>
      </w:pPr>
      <w:bookmarkStart w:id="0" w:name="_GoBack"/>
      <w:bookmarkEnd w:id="0"/>
      <w:r w:rsidRPr="004B730A">
        <w:rPr>
          <w:rFonts w:asciiTheme="minorHAnsi" w:hAnsiTheme="minorHAnsi"/>
          <w:sz w:val="22"/>
        </w:rPr>
        <w:t xml:space="preserve"> </w:t>
      </w:r>
      <w:r w:rsidR="006518E5" w:rsidRPr="004B730A">
        <w:rPr>
          <w:rFonts w:asciiTheme="minorHAnsi" w:hAnsiTheme="minorHAnsi"/>
          <w:sz w:val="22"/>
          <w:highlight w:val="yellow"/>
        </w:rPr>
        <w:br w:type="page"/>
      </w:r>
    </w:p>
    <w:p w:rsidR="000939C3" w:rsidRPr="00DD0C45" w:rsidRDefault="000939C3" w:rsidP="002350BD">
      <w:pPr>
        <w:rPr>
          <w:rFonts w:asciiTheme="minorHAnsi" w:hAnsiTheme="minorHAnsi"/>
          <w:b/>
          <w:sz w:val="20"/>
          <w:szCs w:val="20"/>
        </w:rPr>
      </w:pPr>
    </w:p>
    <w:p w:rsidR="00DD0C45" w:rsidRPr="00DD0C45" w:rsidRDefault="00DD0C45" w:rsidP="002350BD">
      <w:pPr>
        <w:rPr>
          <w:rFonts w:asciiTheme="minorHAnsi" w:hAnsiTheme="minorHAnsi"/>
          <w:b/>
          <w:sz w:val="20"/>
          <w:szCs w:val="20"/>
        </w:rPr>
      </w:pPr>
    </w:p>
    <w:p w:rsidR="00DD0C45" w:rsidRPr="00DD0C45" w:rsidRDefault="00DD0C45" w:rsidP="002350BD">
      <w:pPr>
        <w:rPr>
          <w:rFonts w:asciiTheme="minorHAnsi" w:hAnsiTheme="minorHAnsi"/>
          <w:b/>
          <w:sz w:val="20"/>
          <w:szCs w:val="20"/>
        </w:rPr>
      </w:pPr>
    </w:p>
    <w:tbl>
      <w:tblPr>
        <w:tblW w:w="108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7110"/>
        <w:gridCol w:w="3060"/>
      </w:tblGrid>
      <w:tr w:rsidR="006518E5" w:rsidRPr="006518E5" w:rsidTr="004C29DA">
        <w:trPr>
          <w:trHeight w:val="357"/>
        </w:trPr>
        <w:tc>
          <w:tcPr>
            <w:tcW w:w="71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D8" w:rsidRPr="00CB1999" w:rsidRDefault="00933DD8" w:rsidP="004C10B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State</w:t>
            </w:r>
          </w:p>
        </w:tc>
        <w:tc>
          <w:tcPr>
            <w:tcW w:w="711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933DD8" w:rsidRPr="00CB1999" w:rsidRDefault="00933DD8" w:rsidP="004C10B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</w:rPr>
              <w:t>4. ICI BOILERS - RACT REGULATIONS</w:t>
            </w:r>
          </w:p>
        </w:tc>
        <w:tc>
          <w:tcPr>
            <w:tcW w:w="306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:rsidR="00933DD8" w:rsidRPr="006518E5" w:rsidRDefault="00933DD8" w:rsidP="004C10B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6518E5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State Contacts</w:t>
            </w:r>
          </w:p>
        </w:tc>
      </w:tr>
      <w:tr w:rsidR="00933DD8" w:rsidRPr="00DC0CF4" w:rsidTr="004C29DA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CT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933DD8" w:rsidRPr="00716199" w:rsidRDefault="00933DD8" w:rsidP="00C564C5">
            <w:pPr>
              <w:tabs>
                <w:tab w:val="left" w:pos="3406"/>
              </w:tabs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Revising RCSA section 22a-174-22</w:t>
            </w:r>
          </w:p>
          <w:p w:rsidR="00675CE8" w:rsidRDefault="00912925" w:rsidP="00C564C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7" w:history="1">
              <w:r w:rsidR="00675CE8" w:rsidRPr="00716199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http://www.ct.gov/deep/lib/deep/air/regulations/mainregs/sec22.pdf</w:t>
              </w:r>
            </w:hyperlink>
            <w:r w:rsidR="00675CE8" w:rsidRPr="007161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</w:p>
          <w:p w:rsidR="004C3B82" w:rsidRPr="00716199" w:rsidRDefault="00912925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hyperlink r:id="rId8" w:history="1">
              <w:r w:rsidR="004C3B82" w:rsidRPr="007B0BE7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http://www.ct.gov/deep/lib/deep/air/regulations/20160114_draft_sec22e_dec2015(revised).pdf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sz w:val="20"/>
                <w:szCs w:val="20"/>
              </w:rPr>
              <w:t>Merrily Gere, 860 424 3416,</w:t>
            </w:r>
          </w:p>
          <w:p w:rsidR="00933DD8" w:rsidRPr="00716199" w:rsidRDefault="00912925" w:rsidP="00C564C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9" w:history="1">
              <w:r w:rsidR="00933DD8" w:rsidRPr="00716199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Merrily.Gere@ct.gov</w:t>
              </w:r>
            </w:hyperlink>
            <w:r w:rsidR="00933DD8" w:rsidRPr="00716199">
              <w:rPr>
                <w:rStyle w:val="Hyperlink"/>
                <w:rFonts w:asciiTheme="minorHAnsi" w:eastAsia="Times New Roman" w:hAnsiTheme="minorHAnsi" w:cs="Times New Roman"/>
                <w:sz w:val="20"/>
                <w:szCs w:val="20"/>
              </w:rPr>
              <w:t>;</w:t>
            </w:r>
          </w:p>
        </w:tc>
      </w:tr>
      <w:tr w:rsidR="00933DD8" w:rsidRPr="00DC0CF4" w:rsidTr="004C29DA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DC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91" w:rsidRDefault="00756591" w:rsidP="00C564C5">
            <w:pPr>
              <w:tabs>
                <w:tab w:val="left" w:pos="3406"/>
              </w:tabs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20 DCMR § 805.5, RACT for Major Stationary Sources of Oxides of Nitrogen: </w:t>
            </w:r>
            <w:hyperlink r:id="rId10" w:history="1">
              <w:r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http://www.dcregs.dc.gov/Gateway/RuleHome.aspx?RuleNumber=20-805</w:t>
              </w:r>
            </w:hyperlink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</w:t>
            </w:r>
          </w:p>
          <w:p w:rsidR="00756591" w:rsidRDefault="00756591" w:rsidP="00C564C5">
            <w:pPr>
              <w:tabs>
                <w:tab w:val="left" w:pos="3406"/>
              </w:tabs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20 DCMR § 801, includes a ban on No. 5 fuel oil and heavier as of July 1, 2016:</w:t>
            </w:r>
          </w:p>
          <w:p w:rsidR="00933DD8" w:rsidRPr="00716199" w:rsidRDefault="00912925" w:rsidP="00C564C5">
            <w:pPr>
              <w:tabs>
                <w:tab w:val="left" w:pos="3406"/>
              </w:tabs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hyperlink r:id="rId11" w:history="1">
              <w:r w:rsidR="00756591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http://www.dcregs.dc.gov/Gateway/RuleHome.aspx?RuleNumber=20-801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756591" w:rsidRDefault="00756591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Jessica Daniels, 202-741-0862,</w:t>
            </w:r>
          </w:p>
          <w:p w:rsidR="00933DD8" w:rsidRPr="00716199" w:rsidRDefault="00756591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jessica.daniels@dc.gov</w:t>
            </w:r>
          </w:p>
        </w:tc>
      </w:tr>
      <w:tr w:rsidR="00933DD8" w:rsidRPr="00DC0CF4" w:rsidTr="004C29DA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DE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675CE8" w:rsidRPr="00716199" w:rsidRDefault="00933DD8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7 DE Admin Code 1112, Control of Nitrogen Oxides Emissions</w:t>
            </w:r>
            <w:r w:rsidR="00675CE8"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: </w:t>
            </w:r>
            <w:hyperlink r:id="rId12" w:history="1">
              <w:r w:rsidR="00675CE8" w:rsidRPr="00716199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http://regulations.delaware.gov/AdminCode/title7/1000/1100/1112.shtml</w:t>
              </w:r>
            </w:hyperlink>
          </w:p>
          <w:p w:rsidR="00675CE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7 DE Admin Code 1142, Specific Emission Control Requirements</w:t>
            </w:r>
            <w:r w:rsidR="00675CE8"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: </w:t>
            </w:r>
            <w:hyperlink r:id="rId13" w:history="1">
              <w:r w:rsidR="00675CE8" w:rsidRPr="00716199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http://www.dnrec.delaware.gov/dwhs/Info/Regs/Documents/Reg1142_S1_Recoded_v1.pdf</w:t>
              </w:r>
            </w:hyperlink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933DD8" w:rsidRPr="00DC0CF4" w:rsidTr="004C29DA">
        <w:trPr>
          <w:trHeight w:val="314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MA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933DD8" w:rsidRPr="00DC0CF4" w:rsidTr="004C29DA">
        <w:trPr>
          <w:trHeight w:val="314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ME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933DD8" w:rsidRPr="00DC0CF4" w:rsidTr="004C29DA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MD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COMAR 26.11.09.08 B, E, F &amp; J - Evaluating potential need for changes</w:t>
            </w:r>
            <w:r w:rsidR="00510AE1"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</w:t>
            </w:r>
          </w:p>
          <w:p w:rsidR="00510AE1" w:rsidRPr="00716199" w:rsidRDefault="00912925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hyperlink r:id="rId14" w:history="1">
              <w:r w:rsidR="00510AE1" w:rsidRPr="0071619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http://www.dsd.state.md.us/COMAR/SearchTitle.aspx?scope=26</w:t>
              </w:r>
            </w:hyperlink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hAnsiTheme="minorHAnsi"/>
                <w:sz w:val="20"/>
                <w:szCs w:val="20"/>
              </w:rPr>
            </w:pPr>
            <w:r w:rsidRPr="00716199">
              <w:rPr>
                <w:rFonts w:asciiTheme="minorHAnsi" w:hAnsiTheme="minorHAnsi"/>
                <w:sz w:val="20"/>
                <w:szCs w:val="20"/>
              </w:rPr>
              <w:t>Randy Mosier, 410 537 4488,</w:t>
            </w:r>
          </w:p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Randy.Mosier@maryland.gov;</w:t>
            </w:r>
          </w:p>
        </w:tc>
      </w:tr>
      <w:tr w:rsidR="00933DD8" w:rsidRPr="00DC0CF4" w:rsidTr="004C29DA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NH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933DD8" w:rsidRPr="00DC0CF4" w:rsidTr="004C29DA">
        <w:trPr>
          <w:trHeight w:val="305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NJ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Subchapter 19, latest OTC model rule</w:t>
            </w:r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933DD8" w:rsidRPr="00DC0CF4" w:rsidTr="004C29DA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NY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A11C6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Subpart 227-2, Effective: 7/8/2010, Submitted: 8/19/2010, Final:  77 FR 13974, 78 Fr 41846</w:t>
            </w:r>
            <w:r w:rsidR="00A11C68"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; </w:t>
            </w:r>
            <w:hyperlink r:id="rId15" w:history="1">
              <w:r w:rsidR="00A11C68" w:rsidRPr="00716199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https://www.federalregister.gov/articles/2013/07/12/2013-16493/approval-and-promulgation-of-implementation-plans-new-york-state-ozone-implementation-plan-revision</w:t>
              </w:r>
            </w:hyperlink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John Barnes, 518 402 8396, john.barnes@dec.ny.gov; Robert Bielawa, robert.bielawa@dec.ny.gov;</w:t>
            </w:r>
          </w:p>
        </w:tc>
      </w:tr>
      <w:tr w:rsidR="00933DD8" w:rsidRPr="00DC0CF4" w:rsidTr="004C29DA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D8" w:rsidRPr="00CB19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PA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hAnsiTheme="minorHAnsi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Additional RACT Requirements for Major Sources of NOx and VOCs. Sections 129.96 - 129.100. Control of NOX from Major Sources of NOx and VOC. Effective April 23, 2016. Federal Register –TBD; </w:t>
            </w:r>
            <w:r w:rsidRPr="00716199">
              <w:rPr>
                <w:rFonts w:asciiTheme="minorHAnsi" w:hAnsiTheme="minorHAnsi"/>
                <w:sz w:val="20"/>
                <w:szCs w:val="20"/>
              </w:rPr>
              <w:t xml:space="preserve">Final RACT 2 Rule (46 </w:t>
            </w:r>
            <w:proofErr w:type="spellStart"/>
            <w:r w:rsidRPr="00716199">
              <w:rPr>
                <w:rFonts w:asciiTheme="minorHAnsi" w:hAnsiTheme="minorHAnsi"/>
                <w:sz w:val="20"/>
                <w:szCs w:val="20"/>
              </w:rPr>
              <w:t>Pa.B</w:t>
            </w:r>
            <w:proofErr w:type="spellEnd"/>
            <w:r w:rsidRPr="00716199">
              <w:rPr>
                <w:rFonts w:asciiTheme="minorHAnsi" w:hAnsiTheme="minorHAnsi"/>
                <w:sz w:val="20"/>
                <w:szCs w:val="20"/>
              </w:rPr>
              <w:t>. 2036, April 23, 2016).</w:t>
            </w:r>
          </w:p>
          <w:p w:rsidR="00675CE8" w:rsidRPr="00716199" w:rsidRDefault="00912925" w:rsidP="00C564C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16" w:history="1">
              <w:r w:rsidR="00675CE8" w:rsidRPr="0071619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http://www.pabulletin.com/secure/data/vol46/46-17/694.html</w:t>
              </w:r>
            </w:hyperlink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Susan Hoyle, shoyle@pa.gov;</w:t>
            </w:r>
          </w:p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Randy Bordner, ranbordner@pa.gov;</w:t>
            </w:r>
          </w:p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Susan Foster, sufoster@pa.gov;</w:t>
            </w:r>
          </w:p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Sean Wenrich, sewenrich@pa.gov;</w:t>
            </w:r>
          </w:p>
        </w:tc>
      </w:tr>
      <w:tr w:rsidR="00A8052E" w:rsidRPr="00DC0CF4" w:rsidTr="004C29DA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CB1999" w:rsidRDefault="00A8052E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CB1999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RI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Default="00A8052E" w:rsidP="00C564C5">
            <w:pPr>
              <w:spacing w:line="256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Air Pollution Control Regulation Number 27, Control of Nitrogen Oxide Emissions</w:t>
            </w:r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:rsidR="00A8052E" w:rsidRDefault="00A8052E" w:rsidP="00C564C5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Laurie Grandchamp, 401 222 2808 </w:t>
            </w:r>
          </w:p>
          <w:p w:rsidR="00A8052E" w:rsidRDefault="00A8052E" w:rsidP="00C564C5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laurie.grandchamp@dem.ri.gov</w:t>
            </w:r>
          </w:p>
        </w:tc>
      </w:tr>
      <w:tr w:rsidR="006361E7" w:rsidRPr="00DC0CF4" w:rsidTr="006361E7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E7" w:rsidRPr="00716199" w:rsidRDefault="006361E7" w:rsidP="006361E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VA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7" w:rsidRPr="006361E7" w:rsidRDefault="006361E7" w:rsidP="006361E7">
            <w:pPr>
              <w:spacing w:line="256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6361E7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9 VAC 5 Chapter 40 Article 51; http://www.deq.virginia.gov/Portals/0/DEQ/Air/Regulations/451.pdf</w:t>
            </w:r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auto"/>
          </w:tcPr>
          <w:p w:rsidR="006361E7" w:rsidRDefault="006361E7" w:rsidP="006361E7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Doris McLeod 804-698-4197</w:t>
            </w:r>
          </w:p>
          <w:p w:rsidR="006361E7" w:rsidRDefault="006361E7" w:rsidP="006361E7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doris.mcleod@deq.virginia.gov</w:t>
            </w:r>
          </w:p>
        </w:tc>
      </w:tr>
      <w:tr w:rsidR="00933DD8" w:rsidRPr="00DC0CF4" w:rsidTr="004C29DA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D8" w:rsidRPr="00716199" w:rsidRDefault="00933DD8" w:rsidP="00730B8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VT</w:t>
            </w:r>
          </w:p>
        </w:tc>
        <w:tc>
          <w:tcPr>
            <w:tcW w:w="7110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No action to date</w:t>
            </w:r>
            <w:r w:rsidR="00291F61" w:rsidRPr="00716199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; </w:t>
            </w:r>
            <w:hyperlink r:id="rId17" w:history="1">
              <w:r w:rsidR="00291F61" w:rsidRPr="00716199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http://dec.vermont.gov/air-quality/laws</w:t>
              </w:r>
            </w:hyperlink>
          </w:p>
        </w:tc>
        <w:tc>
          <w:tcPr>
            <w:tcW w:w="3060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33DD8" w:rsidRPr="00716199" w:rsidRDefault="00933DD8" w:rsidP="00C564C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16199">
              <w:rPr>
                <w:rFonts w:asciiTheme="minorHAnsi" w:eastAsia="Times New Roman" w:hAnsiTheme="minorHAnsi" w:cs="Times New Roman"/>
                <w:sz w:val="20"/>
                <w:szCs w:val="20"/>
              </w:rPr>
              <w:t>Doug Elliott, 802 377 5939, Doug.Elliott@vermont.gov;</w:t>
            </w:r>
          </w:p>
        </w:tc>
      </w:tr>
    </w:tbl>
    <w:p w:rsidR="00F83F96" w:rsidRDefault="00F83F96"/>
    <w:sectPr w:rsidR="00F83F96" w:rsidSect="00DD0C45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25" w:rsidRDefault="00912925" w:rsidP="00F8255D">
      <w:r>
        <w:separator/>
      </w:r>
    </w:p>
  </w:endnote>
  <w:endnote w:type="continuationSeparator" w:id="0">
    <w:p w:rsidR="00912925" w:rsidRDefault="00912925" w:rsidP="00F8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4657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D0C45" w:rsidRPr="00DD0C45" w:rsidRDefault="008014C9" w:rsidP="00DD0C45">
        <w:pPr>
          <w:pStyle w:val="Footer"/>
          <w:jc w:val="right"/>
          <w:rPr>
            <w:sz w:val="20"/>
            <w:szCs w:val="20"/>
          </w:rPr>
        </w:pPr>
        <w:r w:rsidRPr="00DD0C45">
          <w:rPr>
            <w:sz w:val="20"/>
            <w:szCs w:val="20"/>
          </w:rPr>
          <w:t>Appendix A</w:t>
        </w:r>
        <w:r w:rsidRPr="00DD0C45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DD0C45" w:rsidRPr="00DD0C45">
          <w:rPr>
            <w:sz w:val="20"/>
            <w:szCs w:val="20"/>
          </w:rPr>
          <w:fldChar w:fldCharType="begin"/>
        </w:r>
        <w:r w:rsidR="00DD0C45" w:rsidRPr="00DD0C45">
          <w:rPr>
            <w:sz w:val="20"/>
            <w:szCs w:val="20"/>
          </w:rPr>
          <w:instrText xml:space="preserve"> PAGE   \* MERGEFORMAT </w:instrText>
        </w:r>
        <w:r w:rsidR="00DD0C45" w:rsidRPr="00DD0C45">
          <w:rPr>
            <w:sz w:val="20"/>
            <w:szCs w:val="20"/>
          </w:rPr>
          <w:fldChar w:fldCharType="separate"/>
        </w:r>
        <w:r w:rsidR="004B730A">
          <w:rPr>
            <w:noProof/>
            <w:sz w:val="20"/>
            <w:szCs w:val="20"/>
          </w:rPr>
          <w:t>3</w:t>
        </w:r>
        <w:r w:rsidR="00DD0C45" w:rsidRPr="00DD0C4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25" w:rsidRDefault="00912925" w:rsidP="00F8255D">
      <w:r>
        <w:separator/>
      </w:r>
    </w:p>
  </w:footnote>
  <w:footnote w:type="continuationSeparator" w:id="0">
    <w:p w:rsidR="00912925" w:rsidRDefault="00912925" w:rsidP="00F8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7B9"/>
    <w:multiLevelType w:val="hybridMultilevel"/>
    <w:tmpl w:val="34167F92"/>
    <w:lvl w:ilvl="0" w:tplc="03F426A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0C73"/>
    <w:multiLevelType w:val="hybridMultilevel"/>
    <w:tmpl w:val="93E4F96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5079658C"/>
    <w:multiLevelType w:val="hybridMultilevel"/>
    <w:tmpl w:val="1C2AEF04"/>
    <w:lvl w:ilvl="0" w:tplc="AE0EFC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A2E81"/>
    <w:multiLevelType w:val="hybridMultilevel"/>
    <w:tmpl w:val="AD08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A"/>
    <w:rsid w:val="00000AF8"/>
    <w:rsid w:val="0007726F"/>
    <w:rsid w:val="000939C3"/>
    <w:rsid w:val="001229CC"/>
    <w:rsid w:val="0014764A"/>
    <w:rsid w:val="001557CC"/>
    <w:rsid w:val="0020399A"/>
    <w:rsid w:val="0020428A"/>
    <w:rsid w:val="00215F2F"/>
    <w:rsid w:val="002350BD"/>
    <w:rsid w:val="0023614E"/>
    <w:rsid w:val="002848FC"/>
    <w:rsid w:val="00291F61"/>
    <w:rsid w:val="003C3D52"/>
    <w:rsid w:val="00404EFA"/>
    <w:rsid w:val="00417545"/>
    <w:rsid w:val="00437DBB"/>
    <w:rsid w:val="004405B6"/>
    <w:rsid w:val="0049270B"/>
    <w:rsid w:val="004B730A"/>
    <w:rsid w:val="004C10BE"/>
    <w:rsid w:val="004C1819"/>
    <w:rsid w:val="004C29DA"/>
    <w:rsid w:val="004C3B82"/>
    <w:rsid w:val="004C6A78"/>
    <w:rsid w:val="00510AE1"/>
    <w:rsid w:val="0051571C"/>
    <w:rsid w:val="005220EB"/>
    <w:rsid w:val="0056752F"/>
    <w:rsid w:val="00596EFD"/>
    <w:rsid w:val="006170F2"/>
    <w:rsid w:val="00620A40"/>
    <w:rsid w:val="006361E7"/>
    <w:rsid w:val="006518E5"/>
    <w:rsid w:val="00675CE8"/>
    <w:rsid w:val="006B55E7"/>
    <w:rsid w:val="006C7C79"/>
    <w:rsid w:val="006F4248"/>
    <w:rsid w:val="00716199"/>
    <w:rsid w:val="00730B82"/>
    <w:rsid w:val="00756591"/>
    <w:rsid w:val="0077120C"/>
    <w:rsid w:val="00786FC9"/>
    <w:rsid w:val="007A3FCD"/>
    <w:rsid w:val="007B36DB"/>
    <w:rsid w:val="007E0170"/>
    <w:rsid w:val="007F0DB4"/>
    <w:rsid w:val="008014C9"/>
    <w:rsid w:val="0084436D"/>
    <w:rsid w:val="008C2434"/>
    <w:rsid w:val="008E7CC7"/>
    <w:rsid w:val="00912925"/>
    <w:rsid w:val="00920130"/>
    <w:rsid w:val="00931B00"/>
    <w:rsid w:val="00933DD8"/>
    <w:rsid w:val="00945B7A"/>
    <w:rsid w:val="00997BE8"/>
    <w:rsid w:val="009A43F1"/>
    <w:rsid w:val="009B3993"/>
    <w:rsid w:val="009D02C8"/>
    <w:rsid w:val="00A11C68"/>
    <w:rsid w:val="00A459AD"/>
    <w:rsid w:val="00A46BB2"/>
    <w:rsid w:val="00A7043E"/>
    <w:rsid w:val="00A8052E"/>
    <w:rsid w:val="00AA2623"/>
    <w:rsid w:val="00AC3B0A"/>
    <w:rsid w:val="00AC6AD0"/>
    <w:rsid w:val="00AD08C5"/>
    <w:rsid w:val="00B129B1"/>
    <w:rsid w:val="00B27EE4"/>
    <w:rsid w:val="00B34EBC"/>
    <w:rsid w:val="00B96A83"/>
    <w:rsid w:val="00C033D6"/>
    <w:rsid w:val="00C564C5"/>
    <w:rsid w:val="00C576DA"/>
    <w:rsid w:val="00C91E25"/>
    <w:rsid w:val="00CB1999"/>
    <w:rsid w:val="00CE6FCC"/>
    <w:rsid w:val="00CF7C90"/>
    <w:rsid w:val="00D05A1C"/>
    <w:rsid w:val="00D40CB8"/>
    <w:rsid w:val="00D5773E"/>
    <w:rsid w:val="00DC169E"/>
    <w:rsid w:val="00DC71FE"/>
    <w:rsid w:val="00DD0C45"/>
    <w:rsid w:val="00E06789"/>
    <w:rsid w:val="00E14F9B"/>
    <w:rsid w:val="00E303E4"/>
    <w:rsid w:val="00E32452"/>
    <w:rsid w:val="00E90F20"/>
    <w:rsid w:val="00EC6A79"/>
    <w:rsid w:val="00F04329"/>
    <w:rsid w:val="00F8255D"/>
    <w:rsid w:val="00F83F96"/>
    <w:rsid w:val="00F87995"/>
    <w:rsid w:val="00F92882"/>
    <w:rsid w:val="00FD11E7"/>
    <w:rsid w:val="00FF0631"/>
    <w:rsid w:val="00FF0A26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6819D-D280-4E3A-9467-593CF7C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D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5D"/>
  </w:style>
  <w:style w:type="paragraph" w:styleId="Footer">
    <w:name w:val="footer"/>
    <w:basedOn w:val="Normal"/>
    <w:link w:val="FooterChar"/>
    <w:uiPriority w:val="99"/>
    <w:unhideWhenUsed/>
    <w:rsid w:val="00F8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eep/lib/deep/air/regulations/20160114_draft_sec22e_dec2015(revised).pdf" TargetMode="External"/><Relationship Id="rId13" Type="http://schemas.openxmlformats.org/officeDocument/2006/relationships/hyperlink" Target="http://www.dnrec.delaware.gov/dwhs/Info/Regs/Documents/Reg1142_S1_Recoded_v1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t.gov/deep/lib/deep/air/regulations/mainregs/sec22.pdf" TargetMode="External"/><Relationship Id="rId12" Type="http://schemas.openxmlformats.org/officeDocument/2006/relationships/hyperlink" Target="http://regulations.delaware.gov/AdminCode/title7/1000/1100/1112.shtml" TargetMode="External"/><Relationship Id="rId17" Type="http://schemas.openxmlformats.org/officeDocument/2006/relationships/hyperlink" Target="http://dec.vermont.gov/air-quality/la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bulletin.com/secure/data/vol46/46-17/69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cregs.dc.gov/Gateway/RuleHome.aspx?RuleNumber=20-8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deralregister.gov/articles/2013/07/12/2013-16493/approval-and-promulgation-of-implementation-plans-new-york-state-ozone-implementation-plan-revision" TargetMode="External"/><Relationship Id="rId10" Type="http://schemas.openxmlformats.org/officeDocument/2006/relationships/hyperlink" Target="http://www.dcregs.dc.gov/Gateway/RuleHome.aspx?RuleNumber=20-8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rrily.Gere@ct.gov" TargetMode="External"/><Relationship Id="rId14" Type="http://schemas.openxmlformats.org/officeDocument/2006/relationships/hyperlink" Target="http://www.dsd.state.md.us/COMAR/SearchTitle.aspx?scope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srajan</dc:creator>
  <cp:keywords/>
  <dc:description/>
  <cp:lastModifiedBy>srajan</cp:lastModifiedBy>
  <cp:revision>15</cp:revision>
  <dcterms:created xsi:type="dcterms:W3CDTF">2016-08-30T14:40:00Z</dcterms:created>
  <dcterms:modified xsi:type="dcterms:W3CDTF">2016-09-01T18:54:00Z</dcterms:modified>
</cp:coreProperties>
</file>